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RESOLUTION (DRAFT)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SUPPORTIVE ENVIRONMENT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WHEREAS</w:t>
      </w:r>
      <w:r w:rsidDel="00000000" w:rsidR="00000000" w:rsidRPr="00000000">
        <w:rPr>
          <w:rtl w:val="0"/>
        </w:rPr>
        <w:t xml:space="preserve">, Momentum Academy is committed to creating and maintaining a safe, inclusive, and supportive environment for all scholars and families, regardless of their immigration status; and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WHEREAS</w:t>
      </w:r>
      <w:r w:rsidDel="00000000" w:rsidR="00000000" w:rsidRPr="00000000">
        <w:rPr>
          <w:rtl w:val="0"/>
        </w:rPr>
        <w:t xml:space="preserve">, Momentum Academy recognizes that uncertainty and fear among families related to immigration enforcement can negatively impact the educational environment and well-being of scholars; and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WHEREAS</w:t>
      </w:r>
      <w:r w:rsidDel="00000000" w:rsidR="00000000" w:rsidRPr="00000000">
        <w:rPr>
          <w:rtl w:val="0"/>
        </w:rPr>
        <w:t xml:space="preserve">, Momentum Academy seeks to ensure that no scholar’s right to an education is threatened or disrupted due to immigration enforcement actions; and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WHEREAS, </w:t>
      </w:r>
      <w:r w:rsidDel="00000000" w:rsidR="00000000" w:rsidRPr="00000000">
        <w:rPr>
          <w:rtl w:val="0"/>
        </w:rPr>
        <w:t xml:space="preserve">the Board of Directors affirms its commitment to protecting the rights and preserving the well-being of all Momentum Academy scholars; 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NOW, THEREFORE, </w:t>
      </w:r>
      <w:r w:rsidDel="00000000" w:rsidR="00000000" w:rsidRPr="00000000">
        <w:rPr>
          <w:rtl w:val="0"/>
        </w:rPr>
        <w:t xml:space="preserve">be it resolved by the Board of Directors of Momentum Academy as follows: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 external agency, including Immigration and Customs Enforcement (ICE), will be permitted beyond the front office of any Momentum Academy school unless they present a judicial warrant.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approached by an external agency requesting access to scholars, staff, or records, staff must direct them to school leadership immediately.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Building leadership teams have been provided guidance on how to manage situations regarding Immigration and Customs Enforcement (ICE) appearing on one of our campuses.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 are committed to supporting families who may feel uncertainty or fear at this moment.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>
        <w:rFonts w:ascii="Poppins" w:cs="Poppins" w:eastAsia="Poppins" w:hAnsi="Poppins"/>
      </w:rPr>
      <w:drawing>
        <wp:inline distB="0" distT="0" distL="0" distR="0">
          <wp:extent cx="2071688" cy="690563"/>
          <wp:effectExtent b="0" l="0" r="0" t="0"/>
          <wp:docPr descr="A purple text on a white background&#10;&#10;Description automatically generated" id="1" name="image1.jpg"/>
          <a:graphic>
            <a:graphicData uri="http://schemas.openxmlformats.org/drawingml/2006/picture">
              <pic:pic>
                <pic:nvPicPr>
                  <pic:cNvPr descr="A purple text on a white background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1688" cy="690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